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января 2014 г. N 31204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126н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ИНФОРМАЦИИ И ДОКУМЕНТОВ ДЛЯ ВЕДЕНИЯ РЕЕСТРА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5947), и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</w:t>
      </w:r>
      <w:proofErr w:type="gramEnd"/>
      <w:r>
        <w:rPr>
          <w:rFonts w:ascii="Calibri" w:hAnsi="Calibri" w:cs="Calibri"/>
        </w:rPr>
        <w:t>, работ, услуг для обеспечения государственных и муниципальных нужд" (Собрание законодательства Российской Федерации, 2013, N 14, ст. 1652, N 27, ст. 3480) приказываю: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информации и документов для ведения реестра банковских гарантий (далее - Порядок).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положения </w:t>
      </w:r>
      <w:hyperlink w:anchor="Par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средствами электронной</w:t>
      </w:r>
      <w:proofErr w:type="gramEnd"/>
      <w:r>
        <w:rPr>
          <w:rFonts w:ascii="Calibri" w:hAnsi="Calibri" w:cs="Calibri"/>
        </w:rPr>
        <w:t xml:space="preserve">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3. Настоящий приказ вступает в силу по истечении 10 дней со дня его официального опубликования, за исключением вступающих в силу: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1 июля 2014 года </w:t>
      </w:r>
      <w:hyperlink w:anchor="Par95" w:history="1">
        <w:r>
          <w:rPr>
            <w:rFonts w:ascii="Calibri" w:hAnsi="Calibri" w:cs="Calibri"/>
            <w:color w:val="0000FF"/>
          </w:rPr>
          <w:t>абзаца десятого пункта 13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абзаца третьего пункта 14</w:t>
        </w:r>
      </w:hyperlink>
      <w:r>
        <w:rPr>
          <w:rFonts w:ascii="Calibri" w:hAnsi="Calibri" w:cs="Calibri"/>
        </w:rPr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ar108" w:history="1">
        <w:r>
          <w:rPr>
            <w:rFonts w:ascii="Calibri" w:hAnsi="Calibri" w:cs="Calibri"/>
            <w:color w:val="0000FF"/>
          </w:rPr>
          <w:t>абзаца второго пункта 15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абзацев второго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восьмого</w:t>
        </w:r>
      </w:hyperlink>
      <w:r>
        <w:rPr>
          <w:rFonts w:ascii="Calibri" w:hAnsi="Calibri" w:cs="Calibri"/>
        </w:rPr>
        <w:t xml:space="preserve"> - </w:t>
      </w:r>
      <w:hyperlink w:anchor="Par130" w:history="1">
        <w:r>
          <w:rPr>
            <w:rFonts w:ascii="Calibri" w:hAnsi="Calibri" w:cs="Calibri"/>
            <w:color w:val="0000FF"/>
          </w:rPr>
          <w:t>четырнадцатого пункта 16</w:t>
        </w:r>
      </w:hyperlink>
      <w:r>
        <w:rPr>
          <w:rFonts w:ascii="Calibri" w:hAnsi="Calibri" w:cs="Calibri"/>
        </w:rPr>
        <w:t xml:space="preserve">, </w:t>
      </w:r>
      <w:hyperlink w:anchor="Par138" w:history="1">
        <w:r>
          <w:rPr>
            <w:rFonts w:ascii="Calibri" w:hAnsi="Calibri" w:cs="Calibri"/>
            <w:color w:val="0000FF"/>
          </w:rPr>
          <w:t>абзаца четвертого пункта 17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абзаца первого пункта 18</w:t>
        </w:r>
      </w:hyperlink>
      <w:r>
        <w:rPr>
          <w:rFonts w:ascii="Calibri" w:hAnsi="Calibri" w:cs="Calibri"/>
        </w:rPr>
        <w:t xml:space="preserve"> в части сведений об иностранных гражданах, </w:t>
      </w:r>
      <w:hyperlink w:anchor="Par158" w:history="1">
        <w:r>
          <w:rPr>
            <w:rFonts w:ascii="Calibri" w:hAnsi="Calibri" w:cs="Calibri"/>
            <w:color w:val="0000FF"/>
          </w:rPr>
          <w:t>абзаца третьего пункта</w:t>
        </w:r>
        <w:proofErr w:type="gramEnd"/>
        <w:r>
          <w:rPr>
            <w:rFonts w:ascii="Calibri" w:hAnsi="Calibri" w:cs="Calibri"/>
            <w:color w:val="0000FF"/>
          </w:rPr>
          <w:t xml:space="preserve"> 19</w:t>
        </w:r>
      </w:hyperlink>
      <w:r>
        <w:rPr>
          <w:rFonts w:ascii="Calibri" w:hAnsi="Calibri" w:cs="Calibri"/>
        </w:rPr>
        <w:t xml:space="preserve">, </w:t>
      </w:r>
      <w:hyperlink w:anchor="Par164" w:history="1">
        <w:r>
          <w:rPr>
            <w:rFonts w:ascii="Calibri" w:hAnsi="Calibri" w:cs="Calibri"/>
            <w:color w:val="0000FF"/>
          </w:rPr>
          <w:t>абзацев второго</w:t>
        </w:r>
      </w:hyperlink>
      <w:r>
        <w:rPr>
          <w:rFonts w:ascii="Calibri" w:hAnsi="Calibri" w:cs="Calibri"/>
        </w:rPr>
        <w:t xml:space="preserve"> - </w:t>
      </w:r>
      <w:hyperlink w:anchor="Par167" w:history="1">
        <w:r>
          <w:rPr>
            <w:rFonts w:ascii="Calibri" w:hAnsi="Calibri" w:cs="Calibri"/>
            <w:color w:val="0000FF"/>
          </w:rPr>
          <w:t>пятого</w:t>
        </w:r>
      </w:hyperlink>
      <w:r>
        <w:rPr>
          <w:rFonts w:ascii="Calibri" w:hAnsi="Calibri" w:cs="Calibri"/>
        </w:rPr>
        <w:t xml:space="preserve">, </w:t>
      </w:r>
      <w:hyperlink w:anchor="Par173" w:history="1">
        <w:r>
          <w:rPr>
            <w:rFonts w:ascii="Calibri" w:hAnsi="Calibri" w:cs="Calibri"/>
            <w:color w:val="0000FF"/>
          </w:rPr>
          <w:t>седьмого</w:t>
        </w:r>
      </w:hyperlink>
      <w:r>
        <w:rPr>
          <w:rFonts w:ascii="Calibri" w:hAnsi="Calibri" w:cs="Calibri"/>
        </w:rPr>
        <w:t xml:space="preserve"> и </w:t>
      </w:r>
      <w:hyperlink w:anchor="Par178" w:history="1">
        <w:r>
          <w:rPr>
            <w:rFonts w:ascii="Calibri" w:hAnsi="Calibri" w:cs="Calibri"/>
            <w:color w:val="0000FF"/>
          </w:rPr>
          <w:t>восьмого пункта 20</w:t>
        </w:r>
      </w:hyperlink>
      <w:r>
        <w:rPr>
          <w:rFonts w:ascii="Calibri" w:hAnsi="Calibri" w:cs="Calibri"/>
        </w:rPr>
        <w:t xml:space="preserve">, </w:t>
      </w:r>
      <w:hyperlink w:anchor="Par185" w:history="1">
        <w:r>
          <w:rPr>
            <w:rFonts w:ascii="Calibri" w:hAnsi="Calibri" w:cs="Calibri"/>
            <w:color w:val="0000FF"/>
          </w:rPr>
          <w:t>абзаца третьего пункта 21</w:t>
        </w:r>
      </w:hyperlink>
      <w:r>
        <w:rPr>
          <w:rFonts w:ascii="Calibri" w:hAnsi="Calibri" w:cs="Calibri"/>
        </w:rPr>
        <w:t xml:space="preserve">, </w:t>
      </w:r>
      <w:hyperlink w:anchor="Par208" w:history="1">
        <w:r>
          <w:rPr>
            <w:rFonts w:ascii="Calibri" w:hAnsi="Calibri" w:cs="Calibri"/>
            <w:color w:val="0000FF"/>
          </w:rPr>
          <w:t>абзаца пятого пункта 25</w:t>
        </w:r>
      </w:hyperlink>
      <w:r>
        <w:rPr>
          <w:rFonts w:ascii="Calibri" w:hAnsi="Calibri" w:cs="Calibri"/>
        </w:rPr>
        <w:t xml:space="preserve"> Порядка, утвержденного настоящим приказом;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2015 года абзаца третьего </w:t>
      </w:r>
      <w:hyperlink w:anchor="Par51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абзаца пятого пункта 12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абзаца девятого пункта 13</w:t>
        </w:r>
      </w:hyperlink>
      <w:r>
        <w:rPr>
          <w:rFonts w:ascii="Calibri" w:hAnsi="Calibri" w:cs="Calibri"/>
        </w:rPr>
        <w:t xml:space="preserve">, </w:t>
      </w:r>
      <w:hyperlink w:anchor="Par151" w:history="1">
        <w:r>
          <w:rPr>
            <w:rFonts w:ascii="Calibri" w:hAnsi="Calibri" w:cs="Calibri"/>
            <w:color w:val="0000FF"/>
          </w:rPr>
          <w:t>абзаца второго пункта 18</w:t>
        </w:r>
      </w:hyperlink>
      <w:r>
        <w:rPr>
          <w:rFonts w:ascii="Calibri" w:hAnsi="Calibri" w:cs="Calibri"/>
        </w:rPr>
        <w:t xml:space="preserve"> Порядка, утвержденного настоящим приказом;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2016 года </w:t>
      </w:r>
      <w:hyperlink w:anchor="Par192" w:history="1">
        <w:r>
          <w:rPr>
            <w:rFonts w:ascii="Calibri" w:hAnsi="Calibri" w:cs="Calibri"/>
            <w:color w:val="0000FF"/>
          </w:rPr>
          <w:t>пункта 22</w:t>
        </w:r>
      </w:hyperlink>
      <w:r>
        <w:rPr>
          <w:rFonts w:ascii="Calibri" w:hAnsi="Calibri" w:cs="Calibri"/>
        </w:rPr>
        <w:t xml:space="preserve"> Порядка, утвержденного настоящим приказом.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вступления в силу </w:t>
      </w:r>
      <w:hyperlink w:anchor="Par192" w:history="1">
        <w:r>
          <w:rPr>
            <w:rFonts w:ascii="Calibri" w:hAnsi="Calibri" w:cs="Calibri"/>
            <w:color w:val="0000FF"/>
          </w:rPr>
          <w:t>пункта 22</w:t>
        </w:r>
      </w:hyperlink>
      <w:r>
        <w:rPr>
          <w:rFonts w:ascii="Calibri" w:hAnsi="Calibri" w:cs="Calibri"/>
        </w:rPr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гарантия, из реестра контрактов.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</w:t>
      </w:r>
      <w:proofErr w:type="gramStart"/>
      <w:r>
        <w:rPr>
          <w:rFonts w:ascii="Calibri" w:hAnsi="Calibri" w:cs="Calibri"/>
        </w:rPr>
        <w:t xml:space="preserve">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</w:t>
      </w:r>
      <w:r>
        <w:rPr>
          <w:rFonts w:ascii="Calibri" w:hAnsi="Calibri" w:cs="Calibri"/>
        </w:rPr>
        <w:lastRenderedPageBreak/>
        <w:t>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  <w:proofErr w:type="gramEnd"/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28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  <w:proofErr w:type="gramEnd"/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126н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ИНФОРМАЦИИ И ДОКУМЕНТОВ ДЛЯ ВЕДЕНИЯ РЕЕСТРА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и документы, включаемые в реестр банковских гарантий (далее соответственно - информация, документы, информация и документы, реестр), формируются: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банками, выдающими банковские гарантии, используемые для целей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заказчиками, являющимися бенефициарами по банковским гарантиям (далее - заказчики).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Формирование банками, выдающими банковские гарантии, и заказчиками информации и 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proofErr w:type="gramEnd"/>
      <w:r>
        <w:rPr>
          <w:rFonts w:ascii="Calibri" w:hAnsi="Calibri" w:cs="Calibri"/>
        </w:rPr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и документы, формируемые заказчиками и банками, подписываются усиленной неквалифицированной электронной подписью (далее - электронная подпись) уполномоченного от их имени лица.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третий пункта 5 вступает в силу с 1 января 2015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lastRenderedPageBreak/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6. Документы, включаемые в реестр, формируются в виде электронной копии бумажного документа, созданной посредством его сканирования. Электронные копии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ведения реестра банк обеспечивает формирование следующей информации и документов: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наименование, место нахождения заказчика, идентификационный номер налогоплательщика;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денежная сумма, подлежащая уплате банком в случае неисполнения поставщиком в установленных случаях требований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действия банковской гарантии;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е) идентификационный код закупки;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ж) копия заключенного договора банковской гарантии;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з) копия документа о внесении изменений в условия банковской гарантии (при наличии).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>
        <w:rPr>
          <w:rFonts w:ascii="Calibri" w:hAnsi="Calibri" w:cs="Calibri"/>
        </w:rPr>
        <w:t>10. В случае отказа в принятии банковской гарантии заказчик обеспечивает формирование информации об отказе заказчика в принятии банковской гарантии.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>
        <w:rPr>
          <w:rFonts w:ascii="Calibri" w:hAnsi="Calibri" w:cs="Calibri"/>
        </w:rPr>
        <w:t>К информации об отказе заказчика в принятии банковской гарантии в адрес поставщика прилагается соответствующий документ заказчика, содержащий информацию об отказе в принятии банковской гарантии с указанием причин, послуживших основанием для отказа.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Сведения, указанные в </w:t>
      </w:r>
      <w:hyperlink w:anchor="Par5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2" w:history="1">
        <w:r>
          <w:rPr>
            <w:rFonts w:ascii="Calibri" w:hAnsi="Calibri" w:cs="Calibri"/>
            <w:color w:val="0000FF"/>
          </w:rPr>
          <w:t>"е" пункта 9</w:t>
        </w:r>
      </w:hyperlink>
      <w:r>
        <w:rPr>
          <w:rFonts w:ascii="Calibri" w:hAnsi="Calibri" w:cs="Calibri"/>
        </w:rPr>
        <w:t xml:space="preserve"> и в </w:t>
      </w:r>
      <w:hyperlink w:anchor="Par65" w:history="1">
        <w:r>
          <w:rPr>
            <w:rFonts w:ascii="Calibri" w:hAnsi="Calibri" w:cs="Calibri"/>
            <w:color w:val="0000FF"/>
          </w:rPr>
          <w:t>абзаце первом пункта 10</w:t>
        </w:r>
      </w:hyperlink>
      <w:r>
        <w:rPr>
          <w:rFonts w:ascii="Calibri" w:hAnsi="Calibri" w:cs="Calibri"/>
        </w:rPr>
        <w:t xml:space="preserve"> настоящего Порядка, включаются в реестр в виде информации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w:anchor="Par63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"з" пункта 9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абзаце втором пункта 10</w:t>
        </w:r>
      </w:hyperlink>
      <w:r>
        <w:rPr>
          <w:rFonts w:ascii="Calibri" w:hAnsi="Calibri" w:cs="Calibri"/>
        </w:rPr>
        <w:t xml:space="preserve"> настоящего Порядка, включаются в реестр в виде документа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1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организационно-правовых форм.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пятый пункта 12 вступает в силу с 1 января 2015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proofErr w:type="gramStart"/>
      <w:r>
        <w:rPr>
          <w:rFonts w:ascii="Calibri" w:hAnsi="Calibri" w:cs="Calibri"/>
        </w:rPr>
        <w:t>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  <w:proofErr w:type="gramEnd"/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субъекта Российской Федерации и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</w:t>
      </w:r>
      <w:hyperlink r:id="rId19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Конституции Российской Федерации, в целях ведения Единого государственного реестра юридических лиц;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 места нахождения банка, заказчика, поставщика;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элемента планировочной структуры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объекта улично-дорожной сети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цифровое или буквенно-цифровое обозначение объекта адресации (при наличии).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</w:t>
      </w:r>
      <w:proofErr w:type="gramEnd"/>
      <w:r>
        <w:rPr>
          <w:rFonts w:ascii="Calibri" w:hAnsi="Calibri" w:cs="Calibri"/>
        </w:rPr>
        <w:t>, поставщиком.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девятый пункта 13 вступает в силу с 1 января 2015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десятый пункта 13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5"/>
      <w:bookmarkEnd w:id="14"/>
      <w:r>
        <w:rPr>
          <w:rFonts w:ascii="Calibri" w:hAnsi="Calibri" w:cs="Calibri"/>
        </w:rPr>
        <w:t xml:space="preserve">Информация о коде населенного пункта места нахождения банка, заказчика, поставщика в соответствии с Общероссийским </w:t>
      </w:r>
      <w:hyperlink r:id="rId2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классификатора объектов административно-территориального деления кодам Общероссийского </w:t>
      </w:r>
      <w:hyperlink r:id="rId22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территорий муниципальных образований.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;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14 </w:t>
      </w:r>
      <w:proofErr w:type="gramStart"/>
      <w:r>
        <w:rPr>
          <w:rFonts w:ascii="Calibri" w:hAnsi="Calibri" w:cs="Calibri"/>
        </w:rPr>
        <w:t>в части даты постановки на учет в налоговом органе в соответствии со свидетельством</w:t>
      </w:r>
      <w:proofErr w:type="gramEnd"/>
      <w:r>
        <w:rPr>
          <w:rFonts w:ascii="Calibri" w:hAnsi="Calibri" w:cs="Calibri"/>
        </w:rPr>
        <w:t xml:space="preserve"> о постановке на учет в налоговом органе вступает в силу с 1 июля 2014 года </w:t>
      </w:r>
      <w:r>
        <w:rPr>
          <w:rFonts w:ascii="Calibri" w:hAnsi="Calibri" w:cs="Calibri"/>
        </w:rPr>
        <w:lastRenderedPageBreak/>
        <w:t>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 xml:space="preserve">код причины и дата постановки </w:t>
      </w:r>
      <w:proofErr w:type="gramStart"/>
      <w:r>
        <w:rPr>
          <w:rFonts w:ascii="Calibri" w:hAnsi="Calibri" w:cs="Calibri"/>
        </w:rPr>
        <w:t>на учет в налоговом органе в соответствии со свидетельством о постановке</w:t>
      </w:r>
      <w:proofErr w:type="gramEnd"/>
      <w:r>
        <w:rPr>
          <w:rFonts w:ascii="Calibri" w:hAnsi="Calibri" w:cs="Calibri"/>
        </w:rPr>
        <w:t xml:space="preserve"> на учет в налоговом органе.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15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8"/>
      <w:bookmarkEnd w:id="16"/>
      <w:r>
        <w:rPr>
          <w:rFonts w:ascii="Calibri" w:hAnsi="Calibri" w:cs="Calibri"/>
        </w:rPr>
        <w:t>Дополнительно полное наименование иностранного юридического лица может указываться с использованием букв латинского алфавита.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16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2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 (ОКСМ);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населенного пункта, наименование населенного пункта лица;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элемента планировочной структуры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объекта улично-дорожной сети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цифровое или буквенно-цифровое обозначение объекта адресации (при наличии).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Абзацы восьмой - четырнадцатый пункта 16 вступают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>При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субъекта Российской Федерации и кодовое обозначение субъекта Российской Федерации, установленное Федеральной налоговой службой в соответствии с федеративным устройством Российской Федерации, определенным </w:t>
      </w:r>
      <w:hyperlink r:id="rId24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Конституции Российской Федерации, в целях ведения Единого государственного реестра юридических лиц;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индекс;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элемента планировочной структуры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наименование объекта улично-дорожной сети (при наличии);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0"/>
      <w:bookmarkEnd w:id="19"/>
      <w:r>
        <w:rPr>
          <w:rFonts w:ascii="Calibri" w:hAnsi="Calibri" w:cs="Calibri"/>
        </w:rPr>
        <w:t>тип и цифровое или буквенно-цифровое обозначение объекта адресации (при наличии).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;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четвертый пункта 17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8"/>
      <w:bookmarkEnd w:id="20"/>
      <w:r>
        <w:rPr>
          <w:rFonts w:ascii="Calibri" w:hAnsi="Calibri" w:cs="Calibri"/>
        </w:rPr>
        <w:t xml:space="preserve">код причины и дата постановки </w:t>
      </w:r>
      <w:proofErr w:type="gramStart"/>
      <w:r>
        <w:rPr>
          <w:rFonts w:ascii="Calibri" w:hAnsi="Calibri" w:cs="Calibri"/>
        </w:rPr>
        <w:t>на учет в налоговом органе в соответствии со свидетельством о постановке</w:t>
      </w:r>
      <w:proofErr w:type="gramEnd"/>
      <w:r>
        <w:rPr>
          <w:rFonts w:ascii="Calibri" w:hAnsi="Calibri" w:cs="Calibri"/>
        </w:rPr>
        <w:t xml:space="preserve"> на учет в налоговом органе;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код налогоплательщика в стране регистрации или его аналог,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иностранных юридических лиц, не состоящих на учете в налоговых органах на территории Российской Федерации: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налогоплательщика в стране регистрации или его аналог.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первый пункта 18 в части сведений об иностранных гражданах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6"/>
      <w:bookmarkEnd w:id="21"/>
      <w:r>
        <w:rPr>
          <w:rFonts w:ascii="Calibri" w:hAnsi="Calibri" w:cs="Calibri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18 вступает в силу с 1 января 2015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1"/>
      <w:bookmarkEnd w:id="22"/>
      <w:r>
        <w:rPr>
          <w:rFonts w:ascii="Calibri" w:hAnsi="Calibri" w:cs="Calibri"/>
        </w:rPr>
        <w:t>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идентификационный номер налогоплательщика индивидуального предпринимателя </w:t>
      </w:r>
      <w:proofErr w:type="gramStart"/>
      <w:r>
        <w:rPr>
          <w:rFonts w:ascii="Calibri" w:hAnsi="Calibri" w:cs="Calibri"/>
        </w:rPr>
        <w:t>в соответствии со свидетельством о постановке на учет в налоговом органе</w:t>
      </w:r>
      <w:proofErr w:type="gramEnd"/>
      <w:r>
        <w:rPr>
          <w:rFonts w:ascii="Calibri" w:hAnsi="Calibri" w:cs="Calibri"/>
        </w:rPr>
        <w:t>;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третий пункта 19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 xml:space="preserve">дата постановки </w:t>
      </w:r>
      <w:proofErr w:type="gramStart"/>
      <w:r>
        <w:rPr>
          <w:rFonts w:ascii="Calibri" w:hAnsi="Calibri" w:cs="Calibri"/>
        </w:rPr>
        <w:t>на учет индивидуального предпринимателя в соответствии со свидетельством о постановке на учет</w:t>
      </w:r>
      <w:proofErr w:type="gramEnd"/>
      <w:r>
        <w:rPr>
          <w:rFonts w:ascii="Calibri" w:hAnsi="Calibri" w:cs="Calibri"/>
        </w:rPr>
        <w:t xml:space="preserve"> в налоговом органе.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формировании информации о денежной сумме, подлежащей уплате гарантом в случае неисполнения участником закупки в установленных случаях требований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Абзацы второй - пятый пункта 20 вступают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4"/>
      <w:bookmarkEnd w:id="24"/>
      <w:r>
        <w:rPr>
          <w:rFonts w:ascii="Calibri" w:hAnsi="Calibri" w:cs="Calibri"/>
        </w:rPr>
        <w:t xml:space="preserve">наименование и код валюты, в которой указывается денежная сумма, в соответствии с Общероссийским </w:t>
      </w:r>
      <w:hyperlink r:id="rId2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валют;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суммы в единице валюты с точностью до сотого знака после запятой.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денежной суммы в иностранной валюте дополнительно указывается следующая информация: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7"/>
      <w:bookmarkEnd w:id="25"/>
      <w:r>
        <w:rPr>
          <w:rFonts w:ascii="Calibri" w:hAnsi="Calibri" w:cs="Calibri"/>
        </w:rPr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денежной суммы, указанной в иностранной валюте, в рублевом эквиваленте.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седьмой пункта 20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3"/>
      <w:bookmarkEnd w:id="26"/>
      <w:r>
        <w:rPr>
          <w:rFonts w:ascii="Calibri" w:hAnsi="Calibri" w:cs="Calibri"/>
        </w:rPr>
        <w:t>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восьмой пункта 20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8"/>
      <w:bookmarkEnd w:id="27"/>
      <w:r>
        <w:rPr>
          <w:rFonts w:ascii="Calibri" w:hAnsi="Calibri" w:cs="Calibri"/>
        </w:rPr>
        <w:lastRenderedPageBreak/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формировании информации о сроке действия банковской гарантии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банковской гарантии;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третий пункта 21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5"/>
      <w:bookmarkEnd w:id="28"/>
      <w:r>
        <w:rPr>
          <w:rFonts w:ascii="Calibri" w:hAnsi="Calibri" w:cs="Calibri"/>
        </w:rPr>
        <w:t>дата вступления в силу банковской гарантии;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окончания срока действия банковской гарантии.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22 вступает в силу с 1 января 2016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2"/>
      <w:bookmarkEnd w:id="29"/>
      <w:r>
        <w:rPr>
          <w:rFonts w:ascii="Calibri" w:hAnsi="Calibri" w:cs="Calibri"/>
        </w:rPr>
        <w:t>22. При формировании информации об идентификационном коде закупки указывается идентификационный код закупки, сформированный в установленном порядке.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 xml:space="preserve">ы), послужившая основанием для отказа в принятии банковской гарантии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6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код(ов) причины (причин) отказа в принятии банковской гарантии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документа заказчика в адрес поставщика о направлении информации об отказе в принятии банковской гарантии.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причин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 xml:space="preserve">ах), послужившей основанием для отказа в принятии банковской гарантии, формируется в информационной системе автоматически после указания кода(ов) причины (причин) отказа в принятии банковской гарантии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информацию, включенную в реестровую запись реестра, сформированную в соответствии с настоящим Порядком;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уникальный номер реестровой записи </w:t>
      </w:r>
      <w:proofErr w:type="gramStart"/>
      <w:r>
        <w:rPr>
          <w:rFonts w:ascii="Calibri" w:hAnsi="Calibri" w:cs="Calibri"/>
        </w:rPr>
        <w:t>реестра</w:t>
      </w:r>
      <w:proofErr w:type="gramEnd"/>
      <w:r>
        <w:rPr>
          <w:rFonts w:ascii="Calibri" w:hAnsi="Calibri" w:cs="Calibri"/>
        </w:rPr>
        <w:t xml:space="preserve"> в формате утвержденной в установленном порядке структуры уникального номера реестровой записи реестра;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пятый пункта 25 вступает в силу с 1 июля 2014 года (</w:t>
      </w:r>
      <w:hyperlink w:anchor="Par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8"/>
      <w:bookmarkEnd w:id="30"/>
      <w:r>
        <w:rPr>
          <w:rFonts w:ascii="Calibri" w:hAnsi="Calibri" w:cs="Calibri"/>
        </w:rPr>
        <w:t>дату присвоения уникального номера реестровой записи реестра;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размещения реестровой записи в составе реестра в единой информационной системе в сфере закупок.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Дата указывается в формате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217"/>
      <w:bookmarkEnd w:id="31"/>
      <w:r>
        <w:rPr>
          <w:rFonts w:ascii="Calibri" w:hAnsi="Calibri" w:cs="Calibri"/>
        </w:rPr>
        <w:t>Приложение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формирования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и документов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ведения реестра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банковских гарантий,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18.12.2013 N 126н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227"/>
      <w:bookmarkEnd w:id="32"/>
      <w:r>
        <w:rPr>
          <w:rFonts w:ascii="Calibri" w:hAnsi="Calibri" w:cs="Calibri"/>
        </w:rPr>
        <w:t>КОДЫ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ПРИЧИНЫ ОТКАЗА ЗАКАЗЧИКА В ПРИНЯТИИ БАНКОВСКОЙ ГАРАНТИИ</w:t>
      </w: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6420" w:rsidSect="00A35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8"/>
        <w:gridCol w:w="1752"/>
      </w:tblGrid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отказа заказчика в принятии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причины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Несоответствие банковской гарантии условиям, указанным в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части 2 статьи 45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суммы банковской гарантии, подлежащей уплате гарантом заказчику в установленных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частью 13 статьи 44</w:t>
              </w:r>
            </w:hyperlink>
            <w:r>
              <w:rPr>
                <w:rFonts w:ascii="Calibri" w:hAnsi="Calibri" w:cs="Calibri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статьей 96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</w:t>
            </w:r>
            <w:proofErr w:type="gramStart"/>
            <w:r>
              <w:rPr>
                <w:rFonts w:ascii="Calibri" w:hAnsi="Calibri" w:cs="Calibri"/>
              </w:rPr>
              <w:t>ств пр</w:t>
            </w:r>
            <w:proofErr w:type="gramEnd"/>
            <w:r>
              <w:rPr>
                <w:rFonts w:ascii="Calibri" w:hAnsi="Calibri" w:cs="Calibri"/>
              </w:rPr>
              <w:t>инципала, надлежащее исполнение которых обеспечивается банковской гарантией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гаранта уплатить заказчику неустойку в размере 0,1 процента денежной суммы, подлежащей уплате за каждый календарный день просрочки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срока действия банковской гарантии с учетом требований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статей 43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96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Несоответствие банковской гарантии условиям, указанным в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части 3 статьи 45</w:t>
              </w:r>
            </w:hyperlink>
            <w:r>
              <w:rPr>
                <w:rFonts w:ascii="Calibri" w:hAnsi="Calibri" w:cs="Calibri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</w:t>
            </w:r>
            <w:r>
              <w:rPr>
                <w:rFonts w:ascii="Calibri" w:hAnsi="Calibri" w:cs="Calibri"/>
              </w:rPr>
              <w:lastRenderedPageBreak/>
              <w:t>пять рабочих дней не исполнено</w:t>
            </w:r>
            <w:proofErr w:type="gramEnd"/>
            <w:r>
              <w:rPr>
                <w:rFonts w:ascii="Calibri" w:hAnsi="Calibri" w:cs="Calibri"/>
              </w:rPr>
              <w:t xml:space="preserve">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064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0" w:rsidRDefault="0090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20" w:rsidRDefault="009064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7C12" w:rsidRDefault="00027C12">
      <w:bookmarkStart w:id="33" w:name="_GoBack"/>
      <w:bookmarkEnd w:id="33"/>
    </w:p>
    <w:sectPr w:rsidR="00027C1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20"/>
    <w:rsid w:val="00027C12"/>
    <w:rsid w:val="009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0FCE4E9E7034864CBA7599E5F77D4BA66161F9FC928C8938785CA4A9C9E9T0y3E" TargetMode="External"/><Relationship Id="rId13" Type="http://schemas.openxmlformats.org/officeDocument/2006/relationships/hyperlink" Target="consultantplus://offline/ref=B1EB18E12D8C5385CEDE0FCE4E9E7034864CBA7599E5F77D4BA66161F9FC928C8938785CA4A9CCE6T0yAE" TargetMode="External"/><Relationship Id="rId18" Type="http://schemas.openxmlformats.org/officeDocument/2006/relationships/hyperlink" Target="consultantplus://offline/ref=B1EB18E12D8C5385CEDE0FCE4E9E7034864CBF7C9CEBF77D4BA66161F9TFyCE" TargetMode="External"/><Relationship Id="rId26" Type="http://schemas.openxmlformats.org/officeDocument/2006/relationships/hyperlink" Target="consultantplus://offline/ref=B1EB18E12D8C5385CEDE0FCE4E9E7034864CBA7599E5F77D4BA66161F9TFy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EB18E12D8C5385CEDE0FCE4E9E7034864DB47C9BE3F77D4BA66161F9TFyCE" TargetMode="External"/><Relationship Id="rId34" Type="http://schemas.openxmlformats.org/officeDocument/2006/relationships/hyperlink" Target="consultantplus://offline/ref=B1EB18E12D8C5385CEDE0FCE4E9E7034864CBA7599E5F77D4BA66161F9FC928C8938785CA4A8CBEBT0y3E" TargetMode="External"/><Relationship Id="rId7" Type="http://schemas.openxmlformats.org/officeDocument/2006/relationships/hyperlink" Target="consultantplus://offline/ref=B1EB18E12D8C5385CEDE0FCE4E9E7034864CBA7599E5F77D4BA66161F9FC928C8938785CA4A9CCE8T0yBE" TargetMode="External"/><Relationship Id="rId12" Type="http://schemas.openxmlformats.org/officeDocument/2006/relationships/hyperlink" Target="consultantplus://offline/ref=B1EB18E12D8C5385CEDE0FCE4E9E7034864CBA7599E5F77D4BA66161F9FC928C8938785CA4A9CCE9T0yDE" TargetMode="External"/><Relationship Id="rId17" Type="http://schemas.openxmlformats.org/officeDocument/2006/relationships/hyperlink" Target="consultantplus://offline/ref=B1EB18E12D8C5385CEDE0FCE4E9E7034864CBA7599E5F77D4BA66161F9TFyCE" TargetMode="External"/><Relationship Id="rId25" Type="http://schemas.openxmlformats.org/officeDocument/2006/relationships/hyperlink" Target="consultantplus://offline/ref=B1EB18E12D8C5385CEDE0FCE4E9E7034864DB47C9BE3F77D4BA66161F9TFyCE" TargetMode="External"/><Relationship Id="rId33" Type="http://schemas.openxmlformats.org/officeDocument/2006/relationships/hyperlink" Target="consultantplus://offline/ref=B1EB18E12D8C5385CEDE0FCE4E9E7034864CBA7599E5F77D4BA66161F9FC928C8938785CA4A9CDEAT0y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EB18E12D8C5385CEDE0FCE4E9E7034864CBA7599E5F77D4BA66161F9TFyCE" TargetMode="External"/><Relationship Id="rId20" Type="http://schemas.openxmlformats.org/officeDocument/2006/relationships/hyperlink" Target="consultantplus://offline/ref=B1EB18E12D8C5385CEDE0FCE4E9E7034864DB47C9BE3F77D4BA66161F9TFyCE" TargetMode="External"/><Relationship Id="rId29" Type="http://schemas.openxmlformats.org/officeDocument/2006/relationships/hyperlink" Target="consultantplus://offline/ref=B1EB18E12D8C5385CEDE0FCE4E9E7034864CBA7599E5F77D4BA66161F9FC928C8938785CA4A8CBEBT0y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B18E12D8C5385CEDE0FCE4E9E7034864CBA7599E5F77D4BA66161F9TFyCE" TargetMode="External"/><Relationship Id="rId11" Type="http://schemas.openxmlformats.org/officeDocument/2006/relationships/hyperlink" Target="consultantplus://offline/ref=B1EB18E12D8C5385CEDE0FCE4E9E7034864CBA7599E5F77D4BA66161F9FC928C8938785CA4A9CCE9T0y8E" TargetMode="External"/><Relationship Id="rId24" Type="http://schemas.openxmlformats.org/officeDocument/2006/relationships/hyperlink" Target="consultantplus://offline/ref=B1EB18E12D8C5385CEDE0FCE4E9E70348541BA7091B4A07F1AF36F64F1ACDA9CC77D755DA6ABTCy9E" TargetMode="External"/><Relationship Id="rId32" Type="http://schemas.openxmlformats.org/officeDocument/2006/relationships/hyperlink" Target="consultantplus://offline/ref=B1EB18E12D8C5385CEDE0FCE4E9E7034864CBA7599E5F77D4BA66161F9FC928C8938785CA4A8CBEET0y2E" TargetMode="External"/><Relationship Id="rId5" Type="http://schemas.openxmlformats.org/officeDocument/2006/relationships/hyperlink" Target="consultantplus://offline/ref=B1EB18E12D8C5385CEDE0FCE4E9E7034864CB9769DE6F77D4BA66161F9FC928C8938785CA4A8CEEBT0yCE" TargetMode="External"/><Relationship Id="rId15" Type="http://schemas.openxmlformats.org/officeDocument/2006/relationships/hyperlink" Target="consultantplus://offline/ref=B1EB18E12D8C5385CEDE0FCE4E9E7034864CBA7599E5F77D4BA66161F9FC928C8938785CA4A9CCE6T0yFE" TargetMode="External"/><Relationship Id="rId23" Type="http://schemas.openxmlformats.org/officeDocument/2006/relationships/hyperlink" Target="consultantplus://offline/ref=B1EB18E12D8C5385CEDE0FCE4E9E7034864CBA7692E7F77D4BA66161F9FC928C8938785CA4A8CEEFT0yAE" TargetMode="External"/><Relationship Id="rId28" Type="http://schemas.openxmlformats.org/officeDocument/2006/relationships/hyperlink" Target="consultantplus://offline/ref=B1EB18E12D8C5385CEDE0FCE4E9E7034864CBA7599E5F77D4BA66161F9FC928C8938785CA4A8CBE8T0y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1EB18E12D8C5385CEDE0FCE4E9E7034864CBA7599E5F77D4BA66161F9FC928C8938785CA4A9CCE8T0yDE" TargetMode="External"/><Relationship Id="rId19" Type="http://schemas.openxmlformats.org/officeDocument/2006/relationships/hyperlink" Target="consultantplus://offline/ref=B1EB18E12D8C5385CEDE0FCE4E9E70348541BA7091B4A07F1AF36F64F1ACDA9CC77D755DA6ABTCy9E" TargetMode="External"/><Relationship Id="rId31" Type="http://schemas.openxmlformats.org/officeDocument/2006/relationships/hyperlink" Target="consultantplus://offline/ref=B1EB18E12D8C5385CEDE0FCE4E9E7034864CBA7599E5F77D4BA66161F9FC928C8938785CA4A9CDEAT0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18E12D8C5385CEDE0FCE4E9E7034864CBA7599E5F77D4BA66161F9FC928C8938785CA4A9C9E6T0yBE" TargetMode="External"/><Relationship Id="rId14" Type="http://schemas.openxmlformats.org/officeDocument/2006/relationships/hyperlink" Target="consultantplus://offline/ref=B1EB18E12D8C5385CEDE0FCE4E9E7034864CBA7599E5F77D4BA66161F9FC928C8938785CA4A9CCE6T0y9E" TargetMode="External"/><Relationship Id="rId22" Type="http://schemas.openxmlformats.org/officeDocument/2006/relationships/hyperlink" Target="consultantplus://offline/ref=B1EB18E12D8C5385CEDE0FCE4E9E7034864DB47C9BE3F77D4BA66161F9TFyCE" TargetMode="External"/><Relationship Id="rId27" Type="http://schemas.openxmlformats.org/officeDocument/2006/relationships/hyperlink" Target="consultantplus://offline/ref=B1EB18E12D8C5385CEDE0FCE4E9E7034864CBA7692E6F77D4BA66161F9TFyCE" TargetMode="External"/><Relationship Id="rId30" Type="http://schemas.openxmlformats.org/officeDocument/2006/relationships/hyperlink" Target="consultantplus://offline/ref=B1EB18E12D8C5385CEDE0FCE4E9E7034864CBA7599E5F77D4BA66161F9FC928C8938785CA4A8CBECT0y3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2014-02-12T04:50:00Z</dcterms:created>
  <dcterms:modified xsi:type="dcterms:W3CDTF">2014-02-12T04:50:00Z</dcterms:modified>
</cp:coreProperties>
</file>